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Pirms apdrošināšanas līguma noslēgšanas klientam sniedzamā informācija</w:t>
      </w:r>
    </w:p>
    <w:p w:rsidR="00000000" w:rsidDel="00000000" w:rsidP="00000000" w:rsidRDefault="00000000" w:rsidRPr="00000000" w14:paraId="00000003">
      <w:pPr>
        <w:spacing w:after="0" w:line="276"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(saskaņā ar Apdrošināšanas un pārapdrošināšanas izplatīšanas likuma prasību izpildi)</w:t>
      </w:r>
    </w:p>
    <w:p w:rsidR="00000000" w:rsidDel="00000000" w:rsidP="00000000" w:rsidRDefault="00000000" w:rsidRPr="00000000" w14:paraId="00000004">
      <w:pPr>
        <w:spacing w:after="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Apdrošināšanas papildpakalpojuma starpnieks</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6">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SIA LEIC TH</w:t>
      </w:r>
    </w:p>
    <w:p w:rsidR="00000000" w:rsidDel="00000000" w:rsidP="00000000" w:rsidRDefault="00000000" w:rsidRPr="00000000" w14:paraId="00000008">
      <w:pPr>
        <w:spacing w:after="0" w:lineRule="auto"/>
        <w:rPr>
          <w:sz w:val="18"/>
          <w:szCs w:val="18"/>
        </w:rPr>
      </w:pPr>
      <w:r w:rsidDel="00000000" w:rsidR="00000000" w:rsidRPr="00000000">
        <w:rPr>
          <w:rFonts w:ascii="Arial" w:cs="Arial" w:eastAsia="Arial" w:hAnsi="Arial"/>
          <w:sz w:val="18"/>
          <w:szCs w:val="18"/>
          <w:rtl w:val="0"/>
        </w:rPr>
        <w:t xml:space="preserve">Reģistrācijas numurs: </w:t>
      </w:r>
      <w:r w:rsidDel="00000000" w:rsidR="00000000" w:rsidRPr="00000000">
        <w:rPr>
          <w:rFonts w:ascii="Aptos" w:cs="Aptos" w:eastAsia="Aptos" w:hAnsi="Aptos"/>
          <w:color w:val="000000"/>
          <w:sz w:val="18"/>
          <w:szCs w:val="18"/>
          <w:rtl w:val="0"/>
        </w:rPr>
        <w:t xml:space="preserve">40103394280</w:t>
      </w:r>
      <w:r w:rsidDel="00000000" w:rsidR="00000000" w:rsidRPr="00000000">
        <w:rPr>
          <w:rtl w:val="0"/>
        </w:rPr>
      </w:r>
    </w:p>
    <w:p w:rsidR="00000000" w:rsidDel="00000000" w:rsidP="00000000" w:rsidRDefault="00000000" w:rsidRPr="00000000" w14:paraId="00000009">
      <w:pPr>
        <w:spacing w:after="0" w:lineRule="auto"/>
        <w:rPr>
          <w:sz w:val="18"/>
          <w:szCs w:val="18"/>
        </w:rPr>
      </w:pPr>
      <w:r w:rsidDel="00000000" w:rsidR="00000000" w:rsidRPr="00000000">
        <w:rPr>
          <w:rFonts w:ascii="Arial" w:cs="Arial" w:eastAsia="Arial" w:hAnsi="Arial"/>
          <w:sz w:val="18"/>
          <w:szCs w:val="18"/>
          <w:rtl w:val="0"/>
        </w:rPr>
        <w:t xml:space="preserve">Juridiskā adrese: Rāmuļu iela 33, Rīga, LV-1005</w:t>
      </w: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E-pasta adrese: vde@vde.lv</w:t>
      </w:r>
    </w:p>
    <w:p w:rsidR="00000000" w:rsidDel="00000000" w:rsidP="00000000" w:rsidRDefault="00000000" w:rsidRPr="00000000" w14:paraId="0000000B">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Tīmekļa vietne: www.vde.lv</w:t>
      </w:r>
    </w:p>
    <w:p w:rsidR="00000000" w:rsidDel="00000000" w:rsidP="00000000" w:rsidRDefault="00000000" w:rsidRPr="00000000" w14:paraId="0000000C">
      <w:pPr>
        <w:spacing w:after="0"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spacing w:after="0"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Apdrošinātājs, kuru pārstāv Apdrošināšanas papildpakalpojuma starpnieks:</w:t>
      </w: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“Compensa Vienna Insurance Group” ADB Latvijas filiāle</w:t>
      </w:r>
    </w:p>
    <w:p w:rsidR="00000000" w:rsidDel="00000000" w:rsidP="00000000" w:rsidRDefault="00000000" w:rsidRPr="00000000" w14:paraId="00000010">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Reģistrācijas numurs: 40103942087</w:t>
      </w:r>
    </w:p>
    <w:p w:rsidR="00000000" w:rsidDel="00000000" w:rsidP="00000000" w:rsidRDefault="00000000" w:rsidRPr="00000000" w14:paraId="00000011">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Juridiskā adrese: Latvija, Vienības gatve 87h, Rīga, LV-1004</w:t>
      </w:r>
    </w:p>
    <w:p w:rsidR="00000000" w:rsidDel="00000000" w:rsidP="00000000" w:rsidRDefault="00000000" w:rsidRPr="00000000" w14:paraId="00000012">
      <w:pPr>
        <w:spacing w:after="0" w:line="240" w:lineRule="auto"/>
        <w:jc w:val="both"/>
        <w:rPr>
          <w:rFonts w:ascii="Arial" w:cs="Arial" w:eastAsia="Arial" w:hAnsi="Arial"/>
          <w:color w:val="000000"/>
          <w:sz w:val="18"/>
          <w:szCs w:val="18"/>
          <w:u w:val="none"/>
        </w:rPr>
      </w:pPr>
      <w:r w:rsidDel="00000000" w:rsidR="00000000" w:rsidRPr="00000000">
        <w:rPr>
          <w:rFonts w:ascii="Arial" w:cs="Arial" w:eastAsia="Arial" w:hAnsi="Arial"/>
          <w:sz w:val="18"/>
          <w:szCs w:val="18"/>
          <w:rtl w:val="0"/>
        </w:rPr>
        <w:t xml:space="preserve">E-pasta adrese: </w:t>
      </w:r>
      <w:hyperlink r:id="rId6">
        <w:r w:rsidDel="00000000" w:rsidR="00000000" w:rsidRPr="00000000">
          <w:rPr>
            <w:rFonts w:ascii="Arial" w:cs="Arial" w:eastAsia="Arial" w:hAnsi="Arial"/>
            <w:color w:val="000000"/>
            <w:sz w:val="18"/>
            <w:szCs w:val="18"/>
            <w:u w:val="none"/>
            <w:rtl w:val="0"/>
          </w:rPr>
          <w:t xml:space="preserve">info@compensa.lv</w:t>
        </w:r>
      </w:hyperlink>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Tīmekļa vietne: </w:t>
      </w:r>
      <w:hyperlink r:id="rId7">
        <w:r w:rsidDel="00000000" w:rsidR="00000000" w:rsidRPr="00000000">
          <w:rPr>
            <w:rFonts w:ascii="Arial" w:cs="Arial" w:eastAsia="Arial" w:hAnsi="Arial"/>
            <w:color w:val="000000"/>
            <w:sz w:val="18"/>
            <w:szCs w:val="18"/>
            <w:u w:val="none"/>
            <w:rtl w:val="0"/>
          </w:rPr>
          <w:t xml:space="preserve">www.compensa.lv</w:t>
        </w:r>
      </w:hyperlink>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spacing w:after="0" w:line="276" w:lineRule="auto"/>
        <w:jc w:val="both"/>
        <w:rPr>
          <w:rFonts w:ascii="Arial" w:cs="Arial" w:eastAsia="Arial" w:hAnsi="Arial"/>
          <w:sz w:val="18"/>
          <w:szCs w:val="18"/>
          <w:u w:val="single"/>
        </w:rPr>
      </w:pPr>
      <w:r w:rsidDel="00000000" w:rsidR="00000000" w:rsidRPr="00000000">
        <w:rPr>
          <w:rFonts w:ascii="Arial" w:cs="Arial" w:eastAsia="Arial" w:hAnsi="Arial"/>
          <w:b w:val="1"/>
          <w:sz w:val="18"/>
          <w:szCs w:val="18"/>
          <w:rtl w:val="0"/>
        </w:rPr>
        <w:t xml:space="preserve">I</w:t>
      </w:r>
      <w:r w:rsidDel="00000000" w:rsidR="00000000" w:rsidRPr="00000000">
        <w:rPr>
          <w:rFonts w:ascii="Arial" w:cs="Arial" w:eastAsia="Arial" w:hAnsi="Arial"/>
          <w:sz w:val="18"/>
          <w:szCs w:val="18"/>
          <w:rtl w:val="0"/>
        </w:rPr>
        <w:t xml:space="preserve"> </w:t>
        <w:tab/>
      </w:r>
      <w:r w:rsidDel="00000000" w:rsidR="00000000" w:rsidRPr="00000000">
        <w:rPr>
          <w:rFonts w:ascii="Arial" w:cs="Arial" w:eastAsia="Arial" w:hAnsi="Arial"/>
          <w:i w:val="1"/>
          <w:sz w:val="18"/>
          <w:szCs w:val="18"/>
          <w:u w:val="single"/>
          <w:rtl w:val="0"/>
        </w:rPr>
        <w:t xml:space="preserve">Apdrošināšanas papildpakalpojuma starpnieka un Apdrošināšanas starpnieka atlīdzība par konkrēto piedāvāto apdrošināšanas līgumu</w:t>
      </w:r>
      <w:r w:rsidDel="00000000" w:rsidR="00000000" w:rsidRPr="00000000">
        <w:rPr>
          <w:rtl w:val="0"/>
        </w:rPr>
      </w:r>
    </w:p>
    <w:p w:rsidR="00000000" w:rsidDel="00000000" w:rsidP="00000000" w:rsidRDefault="00000000" w:rsidRPr="00000000" w14:paraId="00000016">
      <w:pPr>
        <w:spacing w:after="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“Apdrošināšanas papildpakalpojuma starpnieks par apdrošināšanas izplatīšanu, tostarp par šo apdrošināšanas līgumu, saņem atlīdzību no “Compensa Vienna Insurance Group” ADB Latvijas filiāles apdrošināšanas komisijas veidā, kas ir jau ierēķināta apdrošināšanas prēmijas maksājumā. Klientam nav jāveic nekādi citi papildus maksājumi.</w:t>
      </w:r>
    </w:p>
    <w:p w:rsidR="00000000" w:rsidDel="00000000" w:rsidP="00000000" w:rsidRDefault="00000000" w:rsidRPr="00000000" w14:paraId="00000017">
      <w:pPr>
        <w:spacing w:after="0" w:line="276" w:lineRule="auto"/>
        <w:jc w:val="both"/>
        <w:rPr>
          <w:rFonts w:ascii="Arial" w:cs="Arial" w:eastAsia="Arial" w:hAnsi="Arial"/>
          <w:sz w:val="18"/>
          <w:szCs w:val="18"/>
          <w:u w:val="single"/>
        </w:rPr>
      </w:pPr>
      <w:r w:rsidDel="00000000" w:rsidR="00000000" w:rsidRPr="00000000">
        <w:rPr>
          <w:rFonts w:ascii="Arial" w:cs="Arial" w:eastAsia="Arial" w:hAnsi="Arial"/>
          <w:b w:val="1"/>
          <w:sz w:val="18"/>
          <w:szCs w:val="18"/>
          <w:rtl w:val="0"/>
        </w:rPr>
        <w:t xml:space="preserve">II</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i w:val="1"/>
          <w:sz w:val="18"/>
          <w:szCs w:val="18"/>
          <w:u w:val="single"/>
          <w:rtl w:val="0"/>
        </w:rPr>
        <w:t xml:space="preserve">Rekomendācija par pārdotajiem apdrošināšanas produktiem</w:t>
      </w: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Pamatojoties uz Papildpakalpojuma starpnieka piedāvāto pakalpojuma veidu/preci un pircēju visbiežākajām vajadzībām, Apdrošinātājs ir izstrādājis apdrošināšanas produktu, tāpat “Compensa Vienna Insurance Group” ADB Latvijas filiālei ir apdrošināšanas produkti, kuri tiek piedāvāti kā tipveida apdrošināšanas produkts, tomēr apdrošinātājs nesniedz rekomendācijas.  </w:t>
      </w:r>
    </w:p>
    <w:p w:rsidR="00000000" w:rsidDel="00000000" w:rsidP="00000000" w:rsidRDefault="00000000" w:rsidRPr="00000000" w14:paraId="00000019">
      <w:pPr>
        <w:spacing w:after="0" w:line="276" w:lineRule="auto"/>
        <w:jc w:val="both"/>
        <w:rPr>
          <w:rFonts w:ascii="Arial" w:cs="Arial" w:eastAsia="Arial" w:hAnsi="Arial"/>
          <w:i w:val="1"/>
          <w:sz w:val="18"/>
          <w:szCs w:val="18"/>
          <w:u w:val="single"/>
        </w:rPr>
      </w:pPr>
      <w:r w:rsidDel="00000000" w:rsidR="00000000" w:rsidRPr="00000000">
        <w:rPr>
          <w:rFonts w:ascii="Arial" w:cs="Arial" w:eastAsia="Arial" w:hAnsi="Arial"/>
          <w:b w:val="1"/>
          <w:sz w:val="18"/>
          <w:szCs w:val="18"/>
          <w:rtl w:val="0"/>
        </w:rPr>
        <w:t xml:space="preserve">III</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i w:val="1"/>
          <w:sz w:val="18"/>
          <w:szCs w:val="18"/>
          <w:u w:val="single"/>
          <w:rtl w:val="0"/>
        </w:rPr>
        <w:t xml:space="preserve">Sūdzību un strīdu izskatīšana ārpustiesas ceļā </w:t>
      </w:r>
    </w:p>
    <w:p w:rsidR="00000000" w:rsidDel="00000000" w:rsidP="00000000" w:rsidRDefault="00000000" w:rsidRPr="00000000" w14:paraId="0000001A">
      <w:pPr>
        <w:spacing w:after="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 kārtību, kādā ārpustiesas ceļā tiks izskatītas iespējamās sūdzības un strīdi par apdrošināšanas pakalpojumu starp Klientu un “Compensa Vienna Insurance Group” ADB Latvijas filiāli var iepazīties “Compensa Vienna Insurance Group” ADB Latvijas filiāles tīmekļa vietnes sadaļā  Sūdzību izskatīšanas kārtība - </w:t>
      </w:r>
      <w:hyperlink r:id="rId8">
        <w:r w:rsidDel="00000000" w:rsidR="00000000" w:rsidRPr="00000000">
          <w:rPr>
            <w:rFonts w:ascii="Arial" w:cs="Arial" w:eastAsia="Arial" w:hAnsi="Arial"/>
            <w:i w:val="1"/>
            <w:color w:val="000000"/>
            <w:sz w:val="18"/>
            <w:szCs w:val="18"/>
            <w:u w:val="none"/>
            <w:rtl w:val="0"/>
          </w:rPr>
          <w:t xml:space="preserve">https://www.compensa.lv/sudzibu-izskatisanas-kartiba-privatpersonam/</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B">
      <w:pPr>
        <w:spacing w:after="0" w:before="120" w:line="276" w:lineRule="auto"/>
        <w:jc w:val="both"/>
        <w:rPr>
          <w:rFonts w:ascii="Arial" w:cs="Arial" w:eastAsia="Arial" w:hAnsi="Arial"/>
          <w:i w:val="1"/>
          <w:sz w:val="18"/>
          <w:szCs w:val="18"/>
          <w:highlight w:val="white"/>
        </w:rPr>
      </w:pPr>
      <w:r w:rsidDel="00000000" w:rsidR="00000000" w:rsidRPr="00000000">
        <w:rPr>
          <w:rFonts w:ascii="Arial" w:cs="Arial" w:eastAsia="Arial" w:hAnsi="Arial"/>
          <w:sz w:val="18"/>
          <w:szCs w:val="18"/>
          <w:highlight w:val="white"/>
          <w:rtl w:val="0"/>
        </w:rPr>
        <w:t xml:space="preserve">Ar kārtību, kādā ārpustiesas ceļā tiks izskatītas iespējamās sūdzības un strīdi starp Klientu un Papildpakalpojuma starpnieku var iepazīties tīmekļa vietnē: </w:t>
      </w:r>
      <w:hyperlink r:id="rId9">
        <w:r w:rsidDel="00000000" w:rsidR="00000000" w:rsidRPr="00000000">
          <w:rPr>
            <w:rFonts w:ascii="Arial" w:cs="Arial" w:eastAsia="Arial" w:hAnsi="Arial"/>
            <w:color w:val="1155cc"/>
            <w:sz w:val="18"/>
            <w:szCs w:val="18"/>
            <w:highlight w:val="white"/>
            <w:u w:val="single"/>
            <w:rtl w:val="0"/>
          </w:rPr>
          <w:t xml:space="preserve">https://vde.lv/page/lietosanas-noteikumi</w:t>
        </w:r>
      </w:hyperlink>
      <w:r w:rsidDel="00000000" w:rsidR="00000000" w:rsidRPr="00000000">
        <w:rPr>
          <w:rtl w:val="0"/>
        </w:rPr>
      </w:r>
    </w:p>
    <w:p w:rsidR="00000000" w:rsidDel="00000000" w:rsidP="00000000" w:rsidRDefault="00000000" w:rsidRPr="00000000" w14:paraId="0000001C">
      <w:pPr>
        <w:spacing w:after="0" w:line="276" w:lineRule="auto"/>
        <w:jc w:val="both"/>
        <w:rPr/>
      </w:pPr>
      <w:r w:rsidDel="00000000" w:rsidR="00000000" w:rsidRPr="00000000">
        <w:rPr>
          <w:rtl w:val="0"/>
        </w:rPr>
      </w:r>
    </w:p>
    <w:p w:rsidR="00000000" w:rsidDel="00000000" w:rsidP="00000000" w:rsidRDefault="00000000" w:rsidRPr="00000000" w14:paraId="0000001D">
      <w:pPr>
        <w:spacing w:after="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IV</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i w:val="1"/>
          <w:sz w:val="18"/>
          <w:szCs w:val="18"/>
          <w:u w:val="single"/>
          <w:rtl w:val="0"/>
        </w:rPr>
        <w:t xml:space="preserve"> Piemērojamais likums</w:t>
      </w:r>
      <w:r w:rsidDel="00000000" w:rsidR="00000000" w:rsidRPr="00000000">
        <w:rPr>
          <w:rtl w:val="0"/>
        </w:rPr>
      </w:r>
    </w:p>
    <w:p w:rsidR="00000000" w:rsidDel="00000000" w:rsidP="00000000" w:rsidRDefault="00000000" w:rsidRPr="00000000" w14:paraId="0000001E">
      <w:pPr>
        <w:spacing w:after="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apdrošināšanas līguma izrietošo līgumisko attiecību regulēšanai tiks piemēroti Latvijas Republikas normatīvie akti, izņemot, ja apdrošināšanas līgumā puses vienosies par citas valsts normatīvo aktu piemērošanu.</w:t>
      </w:r>
    </w:p>
    <w:p w:rsidR="00000000" w:rsidDel="00000000" w:rsidP="00000000" w:rsidRDefault="00000000" w:rsidRPr="00000000" w14:paraId="0000001F">
      <w:pPr>
        <w:spacing w:after="0" w:line="276" w:lineRule="auto"/>
        <w:jc w:val="both"/>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V</w:t>
      </w:r>
      <w:r w:rsidDel="00000000" w:rsidR="00000000" w:rsidRPr="00000000">
        <w:rPr>
          <w:rFonts w:ascii="Arial" w:cs="Arial" w:eastAsia="Arial" w:hAnsi="Arial"/>
          <w:sz w:val="18"/>
          <w:szCs w:val="18"/>
          <w:rtl w:val="0"/>
        </w:rPr>
        <w:tab/>
        <w:t xml:space="preserve"> </w:t>
      </w:r>
      <w:r w:rsidDel="00000000" w:rsidR="00000000" w:rsidRPr="00000000">
        <w:rPr>
          <w:rFonts w:ascii="Arial" w:cs="Arial" w:eastAsia="Arial" w:hAnsi="Arial"/>
          <w:i w:val="1"/>
          <w:sz w:val="18"/>
          <w:szCs w:val="18"/>
          <w:u w:val="single"/>
          <w:rtl w:val="0"/>
        </w:rPr>
        <w:t xml:space="preserve">Apdrošināšanas produkta standartizētais informācijas dokuments</w:t>
      </w:r>
      <w:r w:rsidDel="00000000" w:rsidR="00000000" w:rsidRPr="00000000">
        <w:rPr>
          <w:rFonts w:ascii="Arial" w:cs="Arial" w:eastAsia="Arial" w:hAnsi="Arial"/>
          <w:i w:val="1"/>
          <w:sz w:val="18"/>
          <w:szCs w:val="18"/>
          <w:rtl w:val="0"/>
        </w:rPr>
        <w:t xml:space="preserve"> </w:t>
      </w:r>
    </w:p>
    <w:p w:rsidR="00000000" w:rsidDel="00000000" w:rsidP="00000000" w:rsidRDefault="00000000" w:rsidRPr="00000000" w14:paraId="00000020">
      <w:pPr>
        <w:spacing w:after="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Apdrošināšanas produktu standartizētie informācijas dokumenti ir izvietoti “Compensa Vienna Insurance Group” ADB Latvijas filiāles tīmekļa vietnē (uz tiem ir saite Apdrošinātāja papildpakalpojuma starpnieka mājas lapā un tie tiek nosūtīti elektroniskā formā, noslēdzot apdrošināšanas līgumu).</w:t>
      </w:r>
    </w:p>
    <w:p w:rsidR="00000000" w:rsidDel="00000000" w:rsidP="00000000" w:rsidRDefault="00000000" w:rsidRPr="00000000" w14:paraId="00000021">
      <w:pPr>
        <w:spacing w:after="0" w:line="276" w:lineRule="auto"/>
        <w:jc w:val="both"/>
        <w:rPr>
          <w:rFonts w:ascii="Arial" w:cs="Arial" w:eastAsia="Arial" w:hAnsi="Arial"/>
          <w:i w:val="1"/>
          <w:sz w:val="18"/>
          <w:szCs w:val="18"/>
          <w:u w:val="single"/>
        </w:rPr>
      </w:pPr>
      <w:r w:rsidDel="00000000" w:rsidR="00000000" w:rsidRPr="00000000">
        <w:rPr>
          <w:rFonts w:ascii="Arial" w:cs="Arial" w:eastAsia="Arial" w:hAnsi="Arial"/>
          <w:b w:val="1"/>
          <w:sz w:val="18"/>
          <w:szCs w:val="18"/>
          <w:rtl w:val="0"/>
        </w:rPr>
        <w:t xml:space="preserve">VI</w:t>
      </w:r>
      <w:r w:rsidDel="00000000" w:rsidR="00000000" w:rsidRPr="00000000">
        <w:rPr>
          <w:rFonts w:ascii="Arial" w:cs="Arial" w:eastAsia="Arial" w:hAnsi="Arial"/>
          <w:sz w:val="18"/>
          <w:szCs w:val="18"/>
          <w:rtl w:val="0"/>
        </w:rPr>
        <w:t xml:space="preserve"> </w:t>
        <w:tab/>
      </w:r>
      <w:r w:rsidDel="00000000" w:rsidR="00000000" w:rsidRPr="00000000">
        <w:rPr>
          <w:rFonts w:ascii="Arial" w:cs="Arial" w:eastAsia="Arial" w:hAnsi="Arial"/>
          <w:i w:val="1"/>
          <w:sz w:val="18"/>
          <w:szCs w:val="18"/>
          <w:u w:val="single"/>
          <w:rtl w:val="0"/>
        </w:rPr>
        <w:t xml:space="preserve">Pirms apdrošināšanas līguma noslēgšanas klientam sniedzamā informācija un apdrošināšanas produktu standartizētās informācijas dokumenta sniegšanas veids</w:t>
      </w:r>
    </w:p>
    <w:p w:rsidR="00000000" w:rsidDel="00000000" w:rsidP="00000000" w:rsidRDefault="00000000" w:rsidRPr="00000000" w14:paraId="00000022">
      <w:pPr>
        <w:spacing w:after="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Apdrošinājuma ņēmējs jeb Klients ar šo tiek informēts, ka pirms apdrošināšanas līguma noslēgšanas Klientam sniedzamā informācija un apdrošināšanas produktu standartizētās informācijas dokuments tam netiek izsniegts papīra formātā, ja pats Klients neizsaka atsevišķu lūgumu (papīra formātā izsniedzam bez maksas). Ar apdrošināšanas produktu standartizētās informācijas dokumentu ir iespējams iepazīties Apdrošinātāja tīmekļa vietnē, kā arī apdrošināšanas produktu standartizētās informācijas dokuments tiks nosūtīts uz klienta norādīto e-pasta adresi.</w:t>
      </w:r>
    </w:p>
    <w:p w:rsidR="00000000" w:rsidDel="00000000" w:rsidP="00000000" w:rsidRDefault="00000000" w:rsidRPr="00000000" w14:paraId="00000023">
      <w:pPr>
        <w:spacing w:after="0" w:line="276" w:lineRule="auto"/>
        <w:jc w:val="both"/>
        <w:rPr>
          <w:rFonts w:ascii="Arial" w:cs="Arial" w:eastAsia="Arial" w:hAnsi="Arial"/>
          <w:i w:val="1"/>
          <w:sz w:val="18"/>
          <w:szCs w:val="18"/>
          <w:u w:val="single"/>
        </w:rPr>
      </w:pPr>
      <w:r w:rsidDel="00000000" w:rsidR="00000000" w:rsidRPr="00000000">
        <w:rPr>
          <w:rFonts w:ascii="Arial" w:cs="Arial" w:eastAsia="Arial" w:hAnsi="Arial"/>
          <w:b w:val="1"/>
          <w:sz w:val="18"/>
          <w:szCs w:val="18"/>
          <w:rtl w:val="0"/>
        </w:rPr>
        <w:t xml:space="preserve">VII  </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i w:val="1"/>
          <w:sz w:val="18"/>
          <w:szCs w:val="18"/>
          <w:u w:val="single"/>
          <w:rtl w:val="0"/>
        </w:rPr>
        <w:t xml:space="preserve">Līdzdalība</w:t>
      </w:r>
    </w:p>
    <w:p w:rsidR="00000000" w:rsidDel="00000000" w:rsidP="00000000" w:rsidRDefault="00000000" w:rsidRPr="00000000" w14:paraId="00000024">
      <w:pPr>
        <w:spacing w:after="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Apdrošināšanas papildpakalpojuma starpniekam  nav tieša vai netieša  līdzdalība Apdrošinātāja akcijās/pamatkapitālā, tāpat Apdrošinātājam nav tiešas vai netiešas līdzdalības Apdrošināšanas papildpakalpojuma starpnieka akcijās/pamatkapitālā. Tomēr vienlaikus informējam, ka Apdrošināšanas papildpakalpojuma starpnieks nodarbojas ar apdrošināšanas izplatīšanu Apdrošinātāja vārdā un interesēs.</w:t>
      </w:r>
    </w:p>
    <w:p w:rsidR="00000000" w:rsidDel="00000000" w:rsidP="00000000" w:rsidRDefault="00000000" w:rsidRPr="00000000" w14:paraId="00000025">
      <w:pPr>
        <w:spacing w:after="0" w:line="276" w:lineRule="auto"/>
        <w:jc w:val="both"/>
        <w:rPr>
          <w:rFonts w:ascii="Arial" w:cs="Arial" w:eastAsia="Arial" w:hAnsi="Arial"/>
          <w:i w:val="1"/>
          <w:sz w:val="18"/>
          <w:szCs w:val="18"/>
          <w:u w:val="single"/>
        </w:rPr>
      </w:pPr>
      <w:r w:rsidDel="00000000" w:rsidR="00000000" w:rsidRPr="00000000">
        <w:rPr>
          <w:rFonts w:ascii="Arial" w:cs="Arial" w:eastAsia="Arial" w:hAnsi="Arial"/>
          <w:b w:val="1"/>
          <w:sz w:val="18"/>
          <w:szCs w:val="18"/>
          <w:rtl w:val="0"/>
        </w:rPr>
        <w:t xml:space="preserve">VII</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i w:val="1"/>
          <w:sz w:val="18"/>
          <w:szCs w:val="18"/>
          <w:u w:val="single"/>
          <w:rtl w:val="0"/>
        </w:rPr>
        <w:t xml:space="preserve">Apdrošinātāja izplatītāju reģistra informācija</w:t>
      </w:r>
    </w:p>
    <w:p w:rsidR="00000000" w:rsidDel="00000000" w:rsidP="00000000" w:rsidRDefault="00000000" w:rsidRPr="00000000" w14:paraId="00000026">
      <w:pPr>
        <w:spacing w:after="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 Apdrošināšanas papildpakalpojuma starpnieka tiesībām izplatīt Apdrošinātāja produktu var pārliecināties Apdrošinātāja izplatītāju reģistros interneta vietnē (Apdrošināšanas papildpakalpojuma starpnieki): </w:t>
      </w:r>
      <w:hyperlink r:id="rId10">
        <w:r w:rsidDel="00000000" w:rsidR="00000000" w:rsidRPr="00000000">
          <w:rPr>
            <w:rFonts w:ascii="Arial" w:cs="Arial" w:eastAsia="Arial" w:hAnsi="Arial"/>
            <w:color w:val="000000"/>
            <w:sz w:val="18"/>
            <w:szCs w:val="18"/>
            <w:u w:val="single"/>
            <w:rtl w:val="0"/>
          </w:rPr>
          <w:t xml:space="preserve">https://www.compensa.lv/musu-partneri/</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7">
      <w:pPr>
        <w:spacing w:after="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spacing w:after="0" w:line="276" w:lineRule="auto"/>
        <w:jc w:val="both"/>
        <w:rPr>
          <w:rFonts w:ascii="Arial" w:cs="Arial" w:eastAsia="Arial" w:hAnsi="Arial"/>
          <w:sz w:val="18"/>
          <w:szCs w:val="18"/>
        </w:rPr>
      </w:pPr>
      <w:r w:rsidDel="00000000" w:rsidR="00000000" w:rsidRPr="00000000">
        <w:rPr>
          <w:rtl w:val="0"/>
        </w:rPr>
      </w:r>
    </w:p>
    <w:sectPr>
      <w:pgSz w:h="16838" w:w="11906" w:orient="portrait"/>
      <w:pgMar w:bottom="993" w:top="568" w:left="1276"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ompensa.lv/musu-partneri/" TargetMode="External"/><Relationship Id="rId9" Type="http://schemas.openxmlformats.org/officeDocument/2006/relationships/hyperlink" Target="https://vde.lv/page/lietosanas-noteikumi" TargetMode="External"/><Relationship Id="rId5" Type="http://schemas.openxmlformats.org/officeDocument/2006/relationships/styles" Target="styles.xml"/><Relationship Id="rId6" Type="http://schemas.openxmlformats.org/officeDocument/2006/relationships/hyperlink" Target="mailto:info@compensa.lv" TargetMode="External"/><Relationship Id="rId7" Type="http://schemas.openxmlformats.org/officeDocument/2006/relationships/hyperlink" Target="http://www.compensa.lv" TargetMode="External"/><Relationship Id="rId8" Type="http://schemas.openxmlformats.org/officeDocument/2006/relationships/hyperlink" Target="https://www.compensa.lv/sudzibu-izskatisanas-kartiba-privatperso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